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40C325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5762A1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</w:t>
      </w:r>
      <w:r w:rsidR="006722DC">
        <w:rPr>
          <w:b/>
          <w:i/>
          <w:noProof/>
          <w:sz w:val="28"/>
        </w:rPr>
        <w:t>08751</w:t>
      </w:r>
      <w:r w:rsidR="00C56057">
        <w:rPr>
          <w:b/>
          <w:i/>
          <w:noProof/>
          <w:sz w:val="28"/>
        </w:rPr>
        <w:fldChar w:fldCharType="end"/>
      </w:r>
    </w:p>
    <w:p w14:paraId="3FDDC990" w14:textId="77777777" w:rsidR="00AD183D" w:rsidRPr="00AD183D" w:rsidRDefault="00AD183D" w:rsidP="00AD183D">
      <w:pPr>
        <w:pStyle w:val="CRCoverPage"/>
        <w:outlineLvl w:val="0"/>
        <w:rPr>
          <w:b/>
          <w:bCs/>
          <w:noProof/>
          <w:sz w:val="24"/>
        </w:rPr>
      </w:pPr>
      <w:r w:rsidRPr="00AD183D">
        <w:rPr>
          <w:b/>
          <w:bCs/>
          <w:noProof/>
          <w:sz w:val="24"/>
        </w:rPr>
        <w:t>Prague, CZ, August 26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 xml:space="preserve"> – 30</w:t>
      </w:r>
      <w:r w:rsidRPr="00AD183D">
        <w:rPr>
          <w:b/>
          <w:bCs/>
          <w:noProof/>
          <w:sz w:val="24"/>
          <w:vertAlign w:val="superscript"/>
        </w:rPr>
        <w:t>th</w:t>
      </w:r>
      <w:r w:rsidRPr="00AD183D">
        <w:rPr>
          <w:b/>
          <w:bCs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16E1454D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8009A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63382AFB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</w:t>
            </w:r>
            <w:r w:rsidR="005762A1">
              <w:rPr>
                <w:b/>
                <w:noProof/>
                <w:sz w:val="28"/>
              </w:rPr>
              <w:t>6</w:t>
            </w:r>
            <w:r w:rsidR="00EA37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441BD613" w:rsidR="001E41F3" w:rsidRDefault="00580B5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E1BC1">
              <w:t>orrection on PRACH signal genera</w:t>
            </w:r>
            <w:r w:rsidR="00C177E8">
              <w:t>tion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77777777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539EB282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92D2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07A86">
              <w:rPr>
                <w:noProof/>
              </w:rPr>
              <w:t>1</w:t>
            </w:r>
            <w:r w:rsidR="00192869">
              <w:rPr>
                <w:noProof/>
              </w:rPr>
              <w:t>5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D834" w14:textId="2F325C90" w:rsidR="001E6453" w:rsidRPr="001E6453" w:rsidRDefault="00CC46AF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>One of the steps in the procedure on PRACH</w:t>
            </w:r>
            <w:r w:rsidR="00E12382">
              <w:rPr>
                <w:color w:val="000000"/>
              </w:rPr>
              <w:t xml:space="preserve"> OFDM</w:t>
            </w:r>
            <w:r>
              <w:rPr>
                <w:color w:val="000000"/>
              </w:rPr>
              <w:t xml:space="preserve"> signal generation is using a wrong format and therefore being inconsistent with the </w:t>
            </w:r>
            <w:r w:rsidR="00E12382">
              <w:rPr>
                <w:color w:val="000000"/>
              </w:rPr>
              <w:t>intension</w:t>
            </w:r>
            <w:r w:rsidR="00312AD3">
              <w:rPr>
                <w:color w:val="000000"/>
              </w:rPr>
              <w:t xml:space="preserve"> </w:t>
            </w:r>
            <w:r w:rsidR="00021A30">
              <w:rPr>
                <w:color w:val="000000"/>
              </w:rPr>
              <w:t>for determination of</w:t>
            </w:r>
            <w:r w:rsidR="00E12382">
              <w:rPr>
                <w:color w:val="000000"/>
              </w:rPr>
              <w:t xml:space="preserve"> </w:t>
            </w:r>
            <w:r w:rsidR="00E12382">
              <w:rPr>
                <w:noProof/>
                <w:position w:val="-10"/>
              </w:rPr>
              <w:drawing>
                <wp:inline distT="0" distB="0" distL="0" distR="0" wp14:anchorId="3522C3BF" wp14:editId="11BC3807">
                  <wp:extent cx="238125" cy="2095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21A30">
              <w:rPr>
                <w:color w:val="000000"/>
              </w:rPr>
              <w:t>value</w:t>
            </w:r>
            <w:r>
              <w:rPr>
                <w:color w:val="000000"/>
              </w:rPr>
              <w:t>.</w:t>
            </w:r>
            <w:r w:rsidR="003F3A30">
              <w:rPr>
                <w:color w:val="000000"/>
              </w:rPr>
              <w:t xml:space="preserve"> 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BD0BF" w14:textId="6A3846E0" w:rsidR="005955C4" w:rsidRDefault="00CC46AF" w:rsidP="001E6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the format to B2 and make the whole procedure consistent with the intension</w:t>
            </w:r>
            <w:r w:rsidR="008E788F">
              <w:rPr>
                <w:noProof/>
              </w:rPr>
              <w:t>, that the “- otherwise” is aligned with it’s corresponding “if” condi</w:t>
            </w:r>
            <w:r w:rsidR="00340FDE">
              <w:rPr>
                <w:noProof/>
              </w:rPr>
              <w:t>t</w:t>
            </w:r>
            <w:r w:rsidR="008E788F">
              <w:rPr>
                <w:noProof/>
              </w:rPr>
              <w:t>ions</w:t>
            </w:r>
            <w:r w:rsidR="00340FDE">
              <w:rPr>
                <w:noProof/>
              </w:rPr>
              <w:t xml:space="preserve"> with correct indentation</w:t>
            </w:r>
            <w:r>
              <w:rPr>
                <w:noProof/>
              </w:rPr>
              <w:t>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48484CEA" w:rsidR="001E41F3" w:rsidRPr="00BC341C" w:rsidRDefault="00496B1F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</w:t>
            </w:r>
            <w:r w:rsidR="009D37C2">
              <w:rPr>
                <w:noProof/>
              </w:rPr>
              <w:t xml:space="preserve"> on which value to use and under which condition</w:t>
            </w:r>
            <w:r w:rsidR="002F38DF">
              <w:rPr>
                <w:noProof/>
              </w:rPr>
              <w:t xml:space="preserve"> </w:t>
            </w:r>
            <w:r w:rsidR="00695F3C">
              <w:rPr>
                <w:noProof/>
              </w:rPr>
              <w:t>on</w:t>
            </w:r>
            <w:r w:rsidR="00A17F60">
              <w:rPr>
                <w:noProof/>
              </w:rPr>
              <w:t xml:space="preserve"> PRACH signal generation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5646C44C" w:rsidR="001E41F3" w:rsidRDefault="009D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652F1253" w:rsidR="001E41F3" w:rsidRDefault="00A87EB1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shall have isolated impact as the correction is aligned with common RAN1 understanding.</w:t>
            </w:r>
            <w:bookmarkStart w:id="2" w:name="_GoBack"/>
            <w:bookmarkEnd w:id="2"/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E531B" w14:textId="65F45F57" w:rsidR="00303977" w:rsidRDefault="00303977">
      <w:pPr>
        <w:spacing w:after="0"/>
        <w:rPr>
          <w:rFonts w:ascii="Arial" w:hAnsi="Arial"/>
          <w:sz w:val="24"/>
        </w:rPr>
      </w:pPr>
      <w:bookmarkStart w:id="3" w:name="_Toc4163679"/>
      <w:bookmarkStart w:id="4" w:name="_Toc4508151"/>
    </w:p>
    <w:p w14:paraId="511535DF" w14:textId="77777777" w:rsidR="00922F16" w:rsidRDefault="00922F16" w:rsidP="00922F1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4E3786B8" w14:textId="77777777" w:rsidR="00E92D26" w:rsidRDefault="00E92D26" w:rsidP="00E92D26">
      <w:pPr>
        <w:pStyle w:val="Heading3"/>
      </w:pPr>
      <w:bookmarkStart w:id="5" w:name="_Toc11324465"/>
      <w:bookmarkEnd w:id="3"/>
      <w:r>
        <w:t>5.3.2</w:t>
      </w:r>
      <w:r>
        <w:tab/>
        <w:t>OFDM baseband signal generation for PRACH</w:t>
      </w:r>
      <w:bookmarkEnd w:id="5"/>
    </w:p>
    <w:p w14:paraId="43380D92" w14:textId="77777777" w:rsidR="00E92D26" w:rsidRDefault="00E92D26" w:rsidP="00E92D26">
      <w:r>
        <w:t xml:space="preserve">The time-continuous signal </w:t>
      </w:r>
      <w:r>
        <w:rPr>
          <w:position w:val="-12"/>
        </w:rPr>
        <w:object w:dxaOrig="780" w:dyaOrig="405" w14:anchorId="1E3649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20.25pt" o:ole="">
            <v:imagedata r:id="rId15" o:title=""/>
          </v:shape>
          <o:OLEObject Type="Embed" ProgID="Equation.3" ShapeID="_x0000_i1025" DrawAspect="Content" ObjectID="_1627771369" r:id="rId16"/>
        </w:object>
      </w:r>
      <w:r>
        <w:t xml:space="preserve"> on antenna port </w:t>
      </w:r>
      <m:oMath>
        <m:r>
          <w:rPr>
            <w:rFonts w:ascii="Cambria Math" w:hAnsi="Cambria Math"/>
          </w:rPr>
          <m:t>p</m:t>
        </m:r>
      </m:oMath>
      <w:r>
        <w:t xml:space="preserve"> for PRACH is defined by</w:t>
      </w:r>
    </w:p>
    <w:p w14:paraId="586D73E0" w14:textId="77777777" w:rsidR="00E92D26" w:rsidRDefault="00E1081F" w:rsidP="00E92D26">
      <w:pPr>
        <w:pStyle w:val="EQ"/>
        <w:ind w:left="1136"/>
        <w:rPr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BWP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m:rPr>
                      <m:nor/>
                    </m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RA</m:t>
              </m:r>
            </m:sub>
            <m:sup>
              <m:r>
                <m:rPr>
                  <m:nor/>
                </m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RA</m:t>
              </m:r>
            </m:sub>
          </m:sSub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RB</m:t>
              </m:r>
            </m:sub>
            <m:sup>
              <m:r>
                <m:rPr>
                  <m:nor/>
                </m:rPr>
                <m:t>RA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grid</m:t>
              </m:r>
            </m:sub>
            <m:sup>
              <m:r>
                <m:rPr>
                  <m:nor/>
                </m:rPr>
                <m:t>size,</m:t>
              </m:r>
              <m:r>
                <w:rPr>
                  <w:rFonts w:ascii="Cambria Math" w:hAnsi="Cambria Math"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μ</m:t>
              </m:r>
            </m:sup>
          </m:sSup>
        </m:oMath>
      </m:oMathPara>
    </w:p>
    <w:p w14:paraId="7A035068" w14:textId="77777777" w:rsidR="00E92D26" w:rsidRDefault="00E92D26" w:rsidP="00E92D26">
      <w:r>
        <w:t xml:space="preserve">where </w:t>
      </w:r>
      <w:r>
        <w:rPr>
          <w:position w:val="-12"/>
        </w:rPr>
        <w:object w:dxaOrig="2535" w:dyaOrig="375" w14:anchorId="23B9BE99">
          <v:shape id="_x0000_i1026" type="#_x0000_t75" style="width:126.75pt;height:18.75pt" o:ole="">
            <v:imagedata r:id="rId17" o:title=""/>
          </v:shape>
          <o:OLEObject Type="Embed" ProgID="Equation.3" ShapeID="_x0000_i1026" DrawAspect="Content" ObjectID="_1627771370" r:id="rId18"/>
        </w:object>
      </w:r>
      <w:r>
        <w:t xml:space="preserve"> and </w:t>
      </w:r>
    </w:p>
    <w:p w14:paraId="6C30A588" w14:textId="77777777" w:rsidR="00E92D26" w:rsidRDefault="00E92D26" w:rsidP="00E92D26">
      <w:pPr>
        <w:pStyle w:val="B1"/>
      </w:pPr>
      <w:r>
        <w:t>-</w:t>
      </w:r>
      <w:r>
        <w:tab/>
      </w:r>
      <w:r>
        <w:rPr>
          <w:position w:val="-6"/>
        </w:rPr>
        <w:object w:dxaOrig="195" w:dyaOrig="300" w14:anchorId="27D1C2DC">
          <v:shape id="_x0000_i1027" type="#_x0000_t75" style="width:9.75pt;height:15pt" o:ole="">
            <v:imagedata r:id="rId19" o:title=""/>
          </v:shape>
          <o:OLEObject Type="Embed" ProgID="Equation.3" ShapeID="_x0000_i1027" DrawAspect="Content" ObjectID="_1627771371" r:id="rId20"/>
        </w:object>
      </w:r>
      <w:r>
        <w:t xml:space="preserve"> is given by clause 6.3.3; </w:t>
      </w:r>
    </w:p>
    <w:p w14:paraId="214B4712" w14:textId="77777777" w:rsidR="00E92D26" w:rsidRDefault="00E92D26" w:rsidP="00E92D26">
      <w:pPr>
        <w:pStyle w:val="B1"/>
      </w:pPr>
      <w:r>
        <w:t>-</w:t>
      </w:r>
      <w:r>
        <w:tab/>
      </w:r>
      <w:r>
        <w:rPr>
          <w:position w:val="-10"/>
        </w:rPr>
        <w:object w:dxaOrig="300" w:dyaOrig="300" w14:anchorId="352D2C24">
          <v:shape id="_x0000_i1028" type="#_x0000_t75" style="width:15pt;height:15pt" o:ole="">
            <v:imagedata r:id="rId21" o:title=""/>
          </v:shape>
          <o:OLEObject Type="Embed" ProgID="Equation.3" ShapeID="_x0000_i1028" DrawAspect="Content" ObjectID="_1627771372" r:id="rId22"/>
        </w:object>
      </w:r>
      <w:r>
        <w:t xml:space="preserve"> is the subcarrier spacing of the initial uplink bandwidth part during initial access. Otherwise, </w:t>
      </w:r>
      <w:r>
        <w:rPr>
          <w:position w:val="-10"/>
        </w:rPr>
        <w:object w:dxaOrig="300" w:dyaOrig="300" w14:anchorId="21034017">
          <v:shape id="_x0000_i1029" type="#_x0000_t75" style="width:15pt;height:15pt" o:ole="">
            <v:imagedata r:id="rId21" o:title=""/>
          </v:shape>
          <o:OLEObject Type="Embed" ProgID="Equation.3" ShapeID="_x0000_i1029" DrawAspect="Content" ObjectID="_1627771373" r:id="rId23"/>
        </w:object>
      </w:r>
      <w:r>
        <w:t xml:space="preserve"> is the subcarrier spacing of the active uplink bandwidth part; </w:t>
      </w:r>
    </w:p>
    <w:p w14:paraId="5FF25055" w14:textId="77777777" w:rsidR="00E92D26" w:rsidRDefault="00E92D26" w:rsidP="00E92D26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largest </w:t>
      </w:r>
      <m:oMath>
        <m:r>
          <w:rPr>
            <w:rFonts w:ascii="Cambria Math" w:hAnsi="Cambria Math"/>
          </w:rPr>
          <m:t>μ</m:t>
        </m:r>
      </m:oMath>
      <w:r>
        <w:t xml:space="preserve"> value among the subcarrier spacing configurations by the higher-layer parameter </w:t>
      </w:r>
      <w:proofErr w:type="spellStart"/>
      <w:r>
        <w:rPr>
          <w:i/>
        </w:rPr>
        <w:t>scs-SpecificCarrierList</w:t>
      </w:r>
      <w:proofErr w:type="spellEnd"/>
      <w:r>
        <w:t>;</w:t>
      </w:r>
    </w:p>
    <w:p w14:paraId="6E00C210" w14:textId="3D609EB9" w:rsidR="00E92D26" w:rsidRDefault="00E92D26" w:rsidP="00E92D26">
      <w:pPr>
        <w:pStyle w:val="B1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14BE721F" wp14:editId="3415A4D0">
            <wp:extent cx="390525" cy="238125"/>
            <wp:effectExtent l="0" t="0" r="9525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lowest numbered resource block of the initial uplink bandwidth part and is derived by the higher-layer parameter </w:t>
      </w:r>
      <w:proofErr w:type="spellStart"/>
      <w:r>
        <w:rPr>
          <w:i/>
        </w:rPr>
        <w:t>initialUplinkBWP</w:t>
      </w:r>
      <w:proofErr w:type="spellEnd"/>
      <w:r>
        <w:rPr>
          <w:i/>
        </w:rPr>
        <w:t xml:space="preserve"> </w:t>
      </w:r>
      <w:r>
        <w:t xml:space="preserve">during initial access. Otherwise, </w:t>
      </w:r>
      <w:r>
        <w:rPr>
          <w:noProof/>
          <w:position w:val="-12"/>
        </w:rPr>
        <w:drawing>
          <wp:inline distT="0" distB="0" distL="0" distR="0" wp14:anchorId="692CD8D7" wp14:editId="5307E52A">
            <wp:extent cx="390525" cy="238125"/>
            <wp:effectExtent l="0" t="0" r="9525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lowest numbered resource block of the active uplink bandwidth part and is derived by the higher-layer parameter </w:t>
      </w:r>
      <w:r>
        <w:rPr>
          <w:i/>
        </w:rPr>
        <w:t>BWP-Uplink</w:t>
      </w:r>
      <w:r>
        <w:t xml:space="preserve">; </w:t>
      </w:r>
    </w:p>
    <w:p w14:paraId="2E21E350" w14:textId="641465A3" w:rsidR="00E92D26" w:rsidRDefault="00E92D26" w:rsidP="00E92D26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7887982E" wp14:editId="360B2197">
            <wp:extent cx="266700" cy="219075"/>
            <wp:effectExtent l="0" t="0" r="0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frequency offset of lowest PRACH transmission occasion in frequency domain with respect to PRB 0 of the initial uplink bandwidth part given by the higher-layer parameter </w:t>
      </w:r>
      <w:r>
        <w:rPr>
          <w:i/>
        </w:rPr>
        <w:t xml:space="preserve">msg1-FrequencyStart </w:t>
      </w:r>
      <w:r>
        <w:t xml:space="preserve">during initial access associated with the initial uplink bandwidth part. Otherwise, </w:t>
      </w:r>
      <w:r>
        <w:rPr>
          <w:noProof/>
          <w:position w:val="-10"/>
        </w:rPr>
        <w:drawing>
          <wp:inline distT="0" distB="0" distL="0" distR="0" wp14:anchorId="04E60205" wp14:editId="3DB34418">
            <wp:extent cx="266700" cy="219075"/>
            <wp:effectExtent l="0" t="0" r="0" b="952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frequency offset of lowest PRACH transmission occasion in frequency domain with respect to physical resource block 0 of the active uplink bandwidth part given by the higher-layer parameter </w:t>
      </w:r>
      <w:r>
        <w:rPr>
          <w:i/>
        </w:rPr>
        <w:t>msg1-FrequencyStart</w:t>
      </w:r>
      <w:r>
        <w:t xml:space="preserve"> associated with the active uplink bandwidth part;</w:t>
      </w:r>
    </w:p>
    <w:p w14:paraId="651A4582" w14:textId="2CD2785D" w:rsidR="00E92D26" w:rsidRDefault="00E92D26" w:rsidP="00E92D26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06E81D1D" wp14:editId="6D0D285D">
            <wp:extent cx="238125" cy="190500"/>
            <wp:effectExtent l="0" t="0" r="952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PRACH transmission occasion index in frequency domain for a given PRACH transmission occasion in </w:t>
      </w:r>
      <w:proofErr w:type="gramStart"/>
      <w:r>
        <w:t>one time</w:t>
      </w:r>
      <w:proofErr w:type="gramEnd"/>
      <w:r>
        <w:t xml:space="preserve"> instance as given by clause 6.3.3.2; </w:t>
      </w:r>
    </w:p>
    <w:p w14:paraId="3BE97713" w14:textId="6BA1FFDB" w:rsidR="00E92D26" w:rsidRDefault="00E92D26" w:rsidP="00E92D26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1B183DB" wp14:editId="535B2B89">
            <wp:extent cx="295275" cy="219075"/>
            <wp:effectExtent l="0" t="0" r="9525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number of resource blocks occupied and is given by the parameter allocation expressed in number of RBs for PUSCH in Table 6.3.3.2-1.</w:t>
      </w:r>
      <w:r>
        <w:rPr>
          <w:b/>
          <w:bCs/>
        </w:rPr>
        <w:t xml:space="preserve"> </w:t>
      </w:r>
    </w:p>
    <w:p w14:paraId="0689EE7F" w14:textId="77777777" w:rsidR="00E92D26" w:rsidRDefault="00E92D26" w:rsidP="00E92D26">
      <w:pPr>
        <w:pStyle w:val="B1"/>
      </w:pPr>
      <w:r>
        <w:t>-</w:t>
      </w:r>
      <w:r>
        <w:tab/>
      </w:r>
      <w:r>
        <w:rPr>
          <w:position w:val="-10"/>
        </w:rPr>
        <w:object w:dxaOrig="420" w:dyaOrig="285" w14:anchorId="621C2360">
          <v:shape id="_x0000_i1030" type="#_x0000_t75" style="width:21pt;height:14.25pt" o:ole="">
            <v:imagedata r:id="rId28" o:title=""/>
          </v:shape>
          <o:OLEObject Type="Embed" ProgID="Equation.3" ShapeID="_x0000_i1030" DrawAspect="Content" ObjectID="_1627771374" r:id="rId29"/>
        </w:object>
      </w:r>
      <w:r>
        <w:t xml:space="preserve"> and </w:t>
      </w:r>
      <w:r>
        <w:rPr>
          <w:position w:val="-10"/>
        </w:rPr>
        <w:object w:dxaOrig="285" w:dyaOrig="285" w14:anchorId="6C860A44">
          <v:shape id="_x0000_i1031" type="#_x0000_t75" style="width:14.25pt;height:14.25pt" o:ole="">
            <v:imagedata r:id="rId30" o:title=""/>
          </v:shape>
          <o:OLEObject Type="Embed" ProgID="Equation.3" ShapeID="_x0000_i1031" DrawAspect="Content" ObjectID="_1627771375" r:id="rId31"/>
        </w:object>
      </w:r>
      <w:r>
        <w:t xml:space="preserve"> are given by clause 6.3.3</w:t>
      </w:r>
    </w:p>
    <w:p w14:paraId="748F2266" w14:textId="77777777" w:rsidR="00E92D26" w:rsidRDefault="00E92D26" w:rsidP="00E92D26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  <m:r>
              <w:rPr>
                <w:rFonts w:ascii="Cambria Math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+n∙16κ</m:t>
        </m:r>
      </m:oMath>
      <w:r>
        <w:t xml:space="preserve"> where </w:t>
      </w:r>
    </w:p>
    <w:p w14:paraId="32279FF6" w14:textId="77777777" w:rsidR="00E92D26" w:rsidRDefault="00E92D26" w:rsidP="00E92D26">
      <w:pPr>
        <w:pStyle w:val="B2"/>
      </w:pPr>
      <w:r>
        <w:t>-</w:t>
      </w:r>
      <w:r>
        <w:tab/>
        <w:t xml:space="preserve">for </w:t>
      </w:r>
      <w:r>
        <w:rPr>
          <w:position w:val="-10"/>
        </w:rPr>
        <w:object w:dxaOrig="1725" w:dyaOrig="285" w14:anchorId="6D44BE39">
          <v:shape id="_x0000_i1032" type="#_x0000_t75" style="width:86.25pt;height:14.25pt" o:ole="">
            <v:imagedata r:id="rId32" o:title=""/>
          </v:shape>
          <o:OLEObject Type="Embed" ProgID="Equation.3" ShapeID="_x0000_i1032" DrawAspect="Content" ObjectID="_1627771376" r:id="rId33"/>
        </w:object>
      </w:r>
      <w:r>
        <w:t xml:space="preserve">, </w:t>
      </w:r>
      <w:r>
        <w:rPr>
          <w:position w:val="-6"/>
        </w:rPr>
        <w:object w:dxaOrig="570" w:dyaOrig="285" w14:anchorId="014283BA">
          <v:shape id="_x0000_i1033" type="#_x0000_t75" style="width:28.5pt;height:14.25pt" o:ole="">
            <v:imagedata r:id="rId34" o:title=""/>
          </v:shape>
          <o:OLEObject Type="Embed" ProgID="Equation.3" ShapeID="_x0000_i1033" DrawAspect="Content" ObjectID="_1627771377" r:id="rId35"/>
        </w:object>
      </w:r>
      <w:r>
        <w:t xml:space="preserve"> </w:t>
      </w:r>
    </w:p>
    <w:p w14:paraId="3530726A" w14:textId="77777777" w:rsidR="00E92D26" w:rsidRDefault="00E92D26" w:rsidP="00E92D26">
      <w:pPr>
        <w:pStyle w:val="B2"/>
      </w:pPr>
      <w:r>
        <w:t>-</w:t>
      </w:r>
      <w:r>
        <w:tab/>
        <w:t xml:space="preserve">for </w:t>
      </w:r>
      <w:r>
        <w:rPr>
          <w:position w:val="-10"/>
        </w:rPr>
        <w:object w:dxaOrig="2310" w:dyaOrig="285" w14:anchorId="6FC42326">
          <v:shape id="_x0000_i1034" type="#_x0000_t75" style="width:115.5pt;height:14.25pt" o:ole="">
            <v:imagedata r:id="rId36" o:title=""/>
          </v:shape>
          <o:OLEObject Type="Embed" ProgID="Equation.3" ShapeID="_x0000_i1034" DrawAspect="Content" ObjectID="_1627771378" r:id="rId37"/>
        </w:object>
      </w:r>
      <w:r>
        <w:t xml:space="preserve">, </w:t>
      </w:r>
      <m:oMath>
        <m:r>
          <w:rPr>
            <w:rFonts w:ascii="Cambria Math" w:hAnsi="Cambria Math"/>
          </w:rPr>
          <m:t>n</m:t>
        </m:r>
      </m:oMath>
      <w:r>
        <w:t xml:space="preserve"> is the number of times the interval </w:t>
      </w:r>
      <w:r>
        <w:rPr>
          <w:position w:val="-16"/>
        </w:rPr>
        <w:object w:dxaOrig="2445" w:dyaOrig="420" w14:anchorId="52856BEE">
          <v:shape id="_x0000_i1035" type="#_x0000_t75" style="width:122.25pt;height:21pt" o:ole="">
            <v:imagedata r:id="rId38" o:title=""/>
          </v:shape>
          <o:OLEObject Type="Embed" ProgID="Equation.DSMT4" ShapeID="_x0000_i1035" DrawAspect="Content" ObjectID="_1627771379" r:id="rId39"/>
        </w:object>
      </w:r>
      <w:r>
        <w:t xml:space="preserve"> overlaps with either time instance 0 or time instance </w:t>
      </w:r>
      <w:r>
        <w:rPr>
          <w:position w:val="-10"/>
        </w:rPr>
        <w:object w:dxaOrig="2460" w:dyaOrig="285" w14:anchorId="638A69E4">
          <v:shape id="_x0000_i1036" type="#_x0000_t75" style="width:123pt;height:14.25pt" o:ole="">
            <v:imagedata r:id="rId40" o:title=""/>
          </v:shape>
          <o:OLEObject Type="Embed" ProgID="Equation.3" ShapeID="_x0000_i1036" DrawAspect="Content" ObjectID="_1627771380" r:id="rId41"/>
        </w:object>
      </w:r>
      <w:r>
        <w:t xml:space="preserve"> in a subframe</w:t>
      </w:r>
    </w:p>
    <w:p w14:paraId="1EA22261" w14:textId="77777777" w:rsidR="00E92D26" w:rsidRDefault="00E92D26" w:rsidP="00E92D26">
      <w:r>
        <w:t xml:space="preserve">The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</m:oMath>
      <w:r>
        <w:t xml:space="preserve"> of the PRACH preamble in a subframe (for </w:t>
      </w:r>
      <w:r>
        <w:rPr>
          <w:position w:val="-12"/>
        </w:rPr>
        <w:object w:dxaOrig="2310" w:dyaOrig="345" w14:anchorId="500D4743">
          <v:shape id="_x0000_i1037" type="#_x0000_t75" style="width:115.5pt;height:17.25pt" o:ole="">
            <v:imagedata r:id="rId42" o:title=""/>
          </v:shape>
          <o:OLEObject Type="Embed" ProgID="Equation.DSMT4" ShapeID="_x0000_i1037" DrawAspect="Content" ObjectID="_1627771381" r:id="rId43"/>
        </w:object>
      </w:r>
      <w:r>
        <w:t xml:space="preserve">) or in a 60 kHz slot (for </w:t>
      </w:r>
      <w:r>
        <w:rPr>
          <w:position w:val="-12"/>
        </w:rPr>
        <w:object w:dxaOrig="1860" w:dyaOrig="345" w14:anchorId="2873C3B6">
          <v:shape id="_x0000_i1038" type="#_x0000_t75" style="width:93pt;height:17.25pt" o:ole="">
            <v:imagedata r:id="rId44" o:title=""/>
          </v:shape>
          <o:OLEObject Type="Embed" ProgID="Equation.DSMT4" ShapeID="_x0000_i1038" DrawAspect="Content" ObjectID="_1627771382" r:id="rId45"/>
        </w:object>
      </w:r>
      <w:r>
        <w:t>) is given by</w:t>
      </w:r>
    </w:p>
    <w:p w14:paraId="4D0D9CDC" w14:textId="77777777" w:rsidR="00E92D26" w:rsidRDefault="00E92D26" w:rsidP="00E92D26">
      <w:pPr>
        <w:pStyle w:val="EQ"/>
      </w:pPr>
      <w:r>
        <w:lastRenderedPageBreak/>
        <w:tab/>
      </w:r>
      <w:r>
        <w:object w:dxaOrig="3720" w:dyaOrig="1035" w14:anchorId="7C27E5F2">
          <v:shape id="_x0000_i1039" type="#_x0000_t75" style="width:186pt;height:51.75pt" o:ole="">
            <v:imagedata r:id="rId46" o:title=""/>
          </v:shape>
          <o:OLEObject Type="Embed" ProgID="Equation.DSMT4" ShapeID="_x0000_i1039" DrawAspect="Content" ObjectID="_1627771383" r:id="rId47"/>
        </w:object>
      </w:r>
    </w:p>
    <w:p w14:paraId="1E47718D" w14:textId="77777777" w:rsidR="00E92D26" w:rsidRDefault="00E92D26" w:rsidP="00E92D26">
      <w:r>
        <w:t xml:space="preserve">where </w:t>
      </w:r>
    </w:p>
    <w:p w14:paraId="35DBE898" w14:textId="1E1BFAAC" w:rsidR="00E92D26" w:rsidRDefault="00E92D26" w:rsidP="00E92D26">
      <w:pPr>
        <w:pStyle w:val="B1"/>
      </w:pPr>
      <w:r>
        <w:t>-</w:t>
      </w:r>
      <w:r>
        <w:tab/>
        <w:t xml:space="preserve">the subframe or 60 kHz slot is assumed to start at </w:t>
      </w:r>
      <w:r>
        <w:rPr>
          <w:noProof/>
          <w:position w:val="-6"/>
        </w:rPr>
        <w:drawing>
          <wp:inline distT="0" distB="0" distL="0" distR="0" wp14:anchorId="21AD6409" wp14:editId="4B47D750">
            <wp:extent cx="304800" cy="17145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;</w:t>
      </w:r>
    </w:p>
    <w:p w14:paraId="5076D5CD" w14:textId="77777777" w:rsidR="00E92D26" w:rsidRDefault="00E92D26" w:rsidP="00E92D26">
      <w:pPr>
        <w:pStyle w:val="B1"/>
      </w:pPr>
      <w:r>
        <w:t>-</w:t>
      </w:r>
      <w:r>
        <w:tab/>
        <w:t xml:space="preserve">a timing advance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shall be assumed;</w:t>
      </w:r>
      <w:r>
        <w:rPr>
          <w:b/>
          <w:bCs/>
        </w:rPr>
        <w:t xml:space="preserve"> </w:t>
      </w:r>
    </w:p>
    <w:p w14:paraId="79F4F75B" w14:textId="77777777" w:rsidR="00E92D26" w:rsidRDefault="00E92D26" w:rsidP="00E92D26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CP,</m:t>
            </m:r>
            <m:r>
              <w:rPr>
                <w:rFonts w:ascii="Cambria Math" w:hAnsi="Cambria Math"/>
              </w:rPr>
              <m:t>l-1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are given by clause 5.3.1;</w:t>
      </w:r>
    </w:p>
    <w:p w14:paraId="45C24EC0" w14:textId="7D46C7F0" w:rsidR="00E92D26" w:rsidRDefault="00E92D26" w:rsidP="00E92D26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3E36F22" wp14:editId="58A64235">
            <wp:extent cx="342900" cy="18097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shall be assumed for </w:t>
      </w:r>
      <w:r>
        <w:rPr>
          <w:noProof/>
          <w:position w:val="-10"/>
        </w:rPr>
        <w:drawing>
          <wp:inline distT="0" distB="0" distL="0" distR="0" wp14:anchorId="172B383B" wp14:editId="7A57D27B">
            <wp:extent cx="1095375" cy="200025"/>
            <wp:effectExtent l="0" t="0" r="9525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otherwise it is given by </w:t>
      </w:r>
      <w:r>
        <w:rPr>
          <w:noProof/>
          <w:position w:val="-10"/>
        </w:rPr>
        <w:drawing>
          <wp:inline distT="0" distB="0" distL="0" distR="0" wp14:anchorId="7018F0D8" wp14:editId="60A221C3">
            <wp:extent cx="1438275" cy="200025"/>
            <wp:effectExtent l="0" t="0" r="9525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the symbol position </w:t>
      </w:r>
      <w:r>
        <w:rPr>
          <w:noProof/>
          <w:position w:val="-6"/>
        </w:rPr>
        <w:drawing>
          <wp:inline distT="0" distB="0" distL="0" distR="0" wp14:anchorId="07DC7E44" wp14:editId="16428212">
            <wp:extent cx="85725" cy="171450"/>
            <wp:effectExtent l="0" t="0" r="952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given by</w:t>
      </w:r>
    </w:p>
    <w:p w14:paraId="4A53FCC8" w14:textId="77777777" w:rsidR="00E92D26" w:rsidRDefault="00E92D26" w:rsidP="00E92D26">
      <w:pPr>
        <w:pStyle w:val="EQ"/>
        <w:rPr>
          <w:lang w:val="sv-SE"/>
        </w:rPr>
      </w:pPr>
      <w:r>
        <w:tab/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dur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+14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slot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</m:oMath>
    </w:p>
    <w:p w14:paraId="1315671D" w14:textId="77777777" w:rsidR="00E92D26" w:rsidRDefault="00E92D26" w:rsidP="00E92D26">
      <w:r>
        <w:t xml:space="preserve">where </w:t>
      </w:r>
    </w:p>
    <w:p w14:paraId="372190F0" w14:textId="581447B2" w:rsidR="00E92D26" w:rsidRDefault="00E92D26" w:rsidP="00E92D26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0E4AA7B" wp14:editId="12AED454">
            <wp:extent cx="114300" cy="20002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given by the parameter "starting symbol" in Tables 6.3.3.2-2 to 6.3.3.2-4;</w:t>
      </w:r>
    </w:p>
    <w:p w14:paraId="1DC21304" w14:textId="1AADD97C" w:rsidR="00E92D26" w:rsidRDefault="00E92D26" w:rsidP="00E92D26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4F6CF7DD" wp14:editId="18C00C8A">
            <wp:extent cx="238125" cy="20955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PRACH transmission occasion within the PRACH slot, numbered in increasing order from 0 to </w:t>
      </w:r>
      <w:r>
        <w:rPr>
          <w:noProof/>
          <w:position w:val="-10"/>
        </w:rPr>
        <w:drawing>
          <wp:inline distT="0" distB="0" distL="0" distR="0" wp14:anchorId="226DC88E" wp14:editId="38CD1342">
            <wp:extent cx="571500" cy="20955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within a RACH slot where </w:t>
      </w:r>
      <w:r>
        <w:rPr>
          <w:noProof/>
          <w:position w:val="-10"/>
        </w:rPr>
        <w:drawing>
          <wp:inline distT="0" distB="0" distL="0" distR="0" wp14:anchorId="68B3BF4F" wp14:editId="7D7A36BB">
            <wp:extent cx="419100" cy="20955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given Tables 6.3.3.2-2 to 6.3.3.2-4 for </w:t>
      </w:r>
      <w:r>
        <w:rPr>
          <w:position w:val="-10"/>
        </w:rPr>
        <w:object w:dxaOrig="870" w:dyaOrig="285" w14:anchorId="52BF1DBA">
          <v:shape id="_x0000_i1040" type="#_x0000_t75" style="width:43.5pt;height:14.25pt" o:ole="">
            <v:imagedata r:id="rId57" o:title=""/>
          </v:shape>
          <o:OLEObject Type="Embed" ProgID="Equation.DSMT4" ShapeID="_x0000_i1040" DrawAspect="Content" ObjectID="_1627771384" r:id="rId58"/>
        </w:object>
      </w:r>
      <w:r>
        <w:t xml:space="preserve"> and fixed to 1 for </w:t>
      </w:r>
      <w:r>
        <w:rPr>
          <w:position w:val="-10"/>
        </w:rPr>
        <w:object w:dxaOrig="870" w:dyaOrig="285" w14:anchorId="08E45538">
          <v:shape id="_x0000_i1041" type="#_x0000_t75" style="width:43.5pt;height:14.25pt" o:ole="">
            <v:imagedata r:id="rId59" o:title=""/>
          </v:shape>
          <o:OLEObject Type="Embed" ProgID="Equation.DSMT4" ShapeID="_x0000_i1041" DrawAspect="Content" ObjectID="_1627771385" r:id="rId60"/>
        </w:object>
      </w:r>
      <w:r>
        <w:t>;</w:t>
      </w:r>
    </w:p>
    <w:p w14:paraId="39605366" w14:textId="0945E15F" w:rsidR="00E92D26" w:rsidRDefault="00E92D26" w:rsidP="00E92D26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AA6075B" wp14:editId="5E6FFCE6">
            <wp:extent cx="266700" cy="20955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given by Tables 6.3.3.2-2 to 6.3.3.2-4;</w:t>
      </w:r>
    </w:p>
    <w:p w14:paraId="3F6C4CD1" w14:textId="7C2823A2" w:rsidR="00E92D26" w:rsidRDefault="00E92D26" w:rsidP="00E92D26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0E7508E0" wp14:editId="5B0C265A">
            <wp:extent cx="238125" cy="209550"/>
            <wp:effectExtent l="0" t="0" r="952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given by</w:t>
      </w:r>
    </w:p>
    <w:p w14:paraId="38CBC2D2" w14:textId="6938BCE5" w:rsidR="00E92D26" w:rsidRDefault="00E92D26" w:rsidP="00E92D26">
      <w:pPr>
        <w:pStyle w:val="B2"/>
      </w:pPr>
      <w:r>
        <w:t>-</w:t>
      </w:r>
      <w:r>
        <w:tab/>
        <w:t xml:space="preserve">if </w:t>
      </w:r>
      <w:r>
        <w:rPr>
          <w:noProof/>
          <w:position w:val="-12"/>
        </w:rPr>
        <w:drawing>
          <wp:inline distT="0" distB="0" distL="0" distR="0" wp14:anchorId="3AE2328C" wp14:editId="1BF38B6E">
            <wp:extent cx="1476375" cy="23812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then </w:t>
      </w:r>
      <w:r>
        <w:rPr>
          <w:noProof/>
          <w:position w:val="-10"/>
        </w:rPr>
        <w:drawing>
          <wp:inline distT="0" distB="0" distL="0" distR="0" wp14:anchorId="12B9EF0B" wp14:editId="2C1CE35C">
            <wp:extent cx="447675" cy="209550"/>
            <wp:effectExtent l="0" t="0" r="952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FDC468" w14:textId="5FDD4733" w:rsidR="00E92D26" w:rsidRDefault="00E92D26" w:rsidP="00E92D26">
      <w:pPr>
        <w:pStyle w:val="B2"/>
      </w:pPr>
      <w:r>
        <w:t>-</w:t>
      </w:r>
      <w:r>
        <w:tab/>
        <w:t xml:space="preserve">if </w:t>
      </w:r>
      <w:r>
        <w:rPr>
          <w:noProof/>
          <w:position w:val="-12"/>
        </w:rPr>
        <w:drawing>
          <wp:inline distT="0" distB="0" distL="0" distR="0" wp14:anchorId="021425BB" wp14:editId="3FCE13E0">
            <wp:extent cx="1181100" cy="238125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 either of "Number of PRACH slots within a subframe" in Tables 6.3.3.2-2 to 6.3.3.2-3 or "Number of PRACH slots within a 60 kHz slot" in Table 6.3.3.2-4 is equal to 1, then </w:t>
      </w:r>
      <w:r>
        <w:rPr>
          <w:noProof/>
          <w:position w:val="-10"/>
        </w:rPr>
        <w:drawing>
          <wp:inline distT="0" distB="0" distL="0" distR="0" wp14:anchorId="59F83B44" wp14:editId="6F3A3708">
            <wp:extent cx="419100" cy="2095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4CCFB" w14:textId="0554089B" w:rsidR="00E92D26" w:rsidRDefault="00E92D26">
      <w:pPr>
        <w:pStyle w:val="B2"/>
        <w:pPrChange w:id="6" w:author="Author">
          <w:pPr>
            <w:pStyle w:val="B1"/>
          </w:pPr>
        </w:pPrChange>
      </w:pPr>
      <w:r>
        <w:t>-</w:t>
      </w:r>
      <w:r>
        <w:tab/>
        <w:t xml:space="preserve">otherwise, </w:t>
      </w:r>
      <w:r>
        <w:rPr>
          <w:noProof/>
          <w:position w:val="-12"/>
        </w:rPr>
        <w:drawing>
          <wp:inline distT="0" distB="0" distL="0" distR="0" wp14:anchorId="230692B9" wp14:editId="33EC24FF">
            <wp:extent cx="628650" cy="23812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8951F" w14:textId="77777777" w:rsidR="00E92D26" w:rsidRDefault="00E92D26" w:rsidP="00E92D26">
      <w:r>
        <w:t>If the preamble format given by Tables 6.3.3.2-2 to 6.3.3.2-4 is A1/B1, A2/B2 or A3/B3, then</w:t>
      </w:r>
    </w:p>
    <w:p w14:paraId="011D9B3C" w14:textId="77777777" w:rsidR="00E92D26" w:rsidRDefault="00E92D26" w:rsidP="00E92D26">
      <w:pPr>
        <w:pStyle w:val="B1"/>
      </w:pPr>
      <w:r>
        <w:t>-</w:t>
      </w:r>
      <w:r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RA,slot</m:t>
            </m:r>
          </m:sup>
        </m:sSubSup>
        <m:r>
          <w:rPr>
            <w:rFonts w:ascii="Cambria Math" w:hAnsi="Cambria Math"/>
          </w:rPr>
          <m:t>-1</m:t>
        </m:r>
      </m:oMath>
      <w:r>
        <w:t>, then the PRACH preamble with the corresponding PRACH preamble format from B1, B2 and B3 is transmitted in the PRACH transmission occasion;</w:t>
      </w:r>
    </w:p>
    <w:p w14:paraId="67D8FF85" w14:textId="77777777" w:rsidR="00E92D26" w:rsidRDefault="00E92D26" w:rsidP="00E92D26">
      <w:pPr>
        <w:pStyle w:val="B1"/>
      </w:pPr>
      <w:r>
        <w:t>-</w:t>
      </w:r>
      <w:r>
        <w:tab/>
        <w:t>otherwise the PRACH preamble with the corresponding PRACH preamble format from A1, A2 and A3 is transmitted in the PRACH transmission occasion</w:t>
      </w:r>
    </w:p>
    <w:bookmarkEnd w:id="4"/>
    <w:p w14:paraId="0B09A4E5" w14:textId="305FC0DD" w:rsidR="007F0253" w:rsidRDefault="007F0253">
      <w:pPr>
        <w:spacing w:after="0"/>
        <w:rPr>
          <w:b/>
          <w:color w:val="FF0000"/>
        </w:rPr>
      </w:pPr>
    </w:p>
    <w:sectPr w:rsidR="007F0253" w:rsidSect="000B7FED">
      <w:headerReference w:type="even" r:id="rId67"/>
      <w:headerReference w:type="default" r:id="rId68"/>
      <w:headerReference w:type="first" r:id="rId6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8F24A" w14:textId="77777777" w:rsidR="009E6BDF" w:rsidRDefault="009E6BDF">
      <w:r>
        <w:separator/>
      </w:r>
    </w:p>
  </w:endnote>
  <w:endnote w:type="continuationSeparator" w:id="0">
    <w:p w14:paraId="3C79D4AD" w14:textId="77777777" w:rsidR="009E6BDF" w:rsidRDefault="009E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37A52" w14:textId="77777777" w:rsidR="009E6BDF" w:rsidRDefault="009E6BDF">
      <w:r>
        <w:separator/>
      </w:r>
    </w:p>
  </w:footnote>
  <w:footnote w:type="continuationSeparator" w:id="0">
    <w:p w14:paraId="1F5785C9" w14:textId="77777777" w:rsidR="009E6BDF" w:rsidRDefault="009E6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9D1163" w:rsidRDefault="009D1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9D1163" w:rsidRPr="0027237D" w:rsidRDefault="009D1163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9D1163" w:rsidRDefault="009D1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B39"/>
    <w:rsid w:val="00021A30"/>
    <w:rsid w:val="00022E4A"/>
    <w:rsid w:val="00080B96"/>
    <w:rsid w:val="0008130C"/>
    <w:rsid w:val="0008518C"/>
    <w:rsid w:val="000A6394"/>
    <w:rsid w:val="000B7FED"/>
    <w:rsid w:val="000C038A"/>
    <w:rsid w:val="000C5759"/>
    <w:rsid w:val="000C6598"/>
    <w:rsid w:val="00102830"/>
    <w:rsid w:val="00133142"/>
    <w:rsid w:val="00145D43"/>
    <w:rsid w:val="0016310C"/>
    <w:rsid w:val="001727FF"/>
    <w:rsid w:val="0017613A"/>
    <w:rsid w:val="00192869"/>
    <w:rsid w:val="00192C46"/>
    <w:rsid w:val="001A08B3"/>
    <w:rsid w:val="001A7B60"/>
    <w:rsid w:val="001B22F6"/>
    <w:rsid w:val="001B52F0"/>
    <w:rsid w:val="001B721C"/>
    <w:rsid w:val="001B7A65"/>
    <w:rsid w:val="001C499A"/>
    <w:rsid w:val="001E41F3"/>
    <w:rsid w:val="001E6453"/>
    <w:rsid w:val="001F5023"/>
    <w:rsid w:val="00253B88"/>
    <w:rsid w:val="0026004D"/>
    <w:rsid w:val="002640DD"/>
    <w:rsid w:val="00264AE9"/>
    <w:rsid w:val="0027237D"/>
    <w:rsid w:val="00275D12"/>
    <w:rsid w:val="00284FEB"/>
    <w:rsid w:val="002860C4"/>
    <w:rsid w:val="002B5741"/>
    <w:rsid w:val="002F38DF"/>
    <w:rsid w:val="002F3D3E"/>
    <w:rsid w:val="003027D2"/>
    <w:rsid w:val="00303977"/>
    <w:rsid w:val="00305409"/>
    <w:rsid w:val="0030563D"/>
    <w:rsid w:val="00312AD3"/>
    <w:rsid w:val="00325C7C"/>
    <w:rsid w:val="00340FDE"/>
    <w:rsid w:val="00342A9E"/>
    <w:rsid w:val="003523B9"/>
    <w:rsid w:val="003609EF"/>
    <w:rsid w:val="0036231A"/>
    <w:rsid w:val="00367CD1"/>
    <w:rsid w:val="00372787"/>
    <w:rsid w:val="00374DD4"/>
    <w:rsid w:val="00394A96"/>
    <w:rsid w:val="003C1913"/>
    <w:rsid w:val="003C30D4"/>
    <w:rsid w:val="003D043C"/>
    <w:rsid w:val="003D4F67"/>
    <w:rsid w:val="003E1A36"/>
    <w:rsid w:val="003F3A30"/>
    <w:rsid w:val="00401443"/>
    <w:rsid w:val="00404EF2"/>
    <w:rsid w:val="00410371"/>
    <w:rsid w:val="00414804"/>
    <w:rsid w:val="004242F1"/>
    <w:rsid w:val="00432EE5"/>
    <w:rsid w:val="004565AA"/>
    <w:rsid w:val="00456B30"/>
    <w:rsid w:val="0047043E"/>
    <w:rsid w:val="00485035"/>
    <w:rsid w:val="00496B1F"/>
    <w:rsid w:val="004A34B4"/>
    <w:rsid w:val="004B75B7"/>
    <w:rsid w:val="004D12AF"/>
    <w:rsid w:val="004D3CBB"/>
    <w:rsid w:val="004F57C9"/>
    <w:rsid w:val="005030DD"/>
    <w:rsid w:val="0051580D"/>
    <w:rsid w:val="00547111"/>
    <w:rsid w:val="00556BE1"/>
    <w:rsid w:val="005762A1"/>
    <w:rsid w:val="00580B5F"/>
    <w:rsid w:val="00582851"/>
    <w:rsid w:val="00592D74"/>
    <w:rsid w:val="005955C4"/>
    <w:rsid w:val="005C347C"/>
    <w:rsid w:val="005E2C44"/>
    <w:rsid w:val="005E7E14"/>
    <w:rsid w:val="005F1B95"/>
    <w:rsid w:val="005F1FED"/>
    <w:rsid w:val="005F4C10"/>
    <w:rsid w:val="006133A8"/>
    <w:rsid w:val="00621188"/>
    <w:rsid w:val="006257ED"/>
    <w:rsid w:val="00630A93"/>
    <w:rsid w:val="006352D0"/>
    <w:rsid w:val="00642DD0"/>
    <w:rsid w:val="006722DC"/>
    <w:rsid w:val="00672398"/>
    <w:rsid w:val="00674F8F"/>
    <w:rsid w:val="00695808"/>
    <w:rsid w:val="00695F3C"/>
    <w:rsid w:val="006B46FB"/>
    <w:rsid w:val="006B581A"/>
    <w:rsid w:val="006E21FB"/>
    <w:rsid w:val="006F1F8D"/>
    <w:rsid w:val="00702ABF"/>
    <w:rsid w:val="00714C6A"/>
    <w:rsid w:val="00753AB7"/>
    <w:rsid w:val="007661D4"/>
    <w:rsid w:val="00780802"/>
    <w:rsid w:val="00792342"/>
    <w:rsid w:val="007977A8"/>
    <w:rsid w:val="007A0D6E"/>
    <w:rsid w:val="007A55C1"/>
    <w:rsid w:val="007B512A"/>
    <w:rsid w:val="007C0F7F"/>
    <w:rsid w:val="007C2097"/>
    <w:rsid w:val="007D6A07"/>
    <w:rsid w:val="007F0253"/>
    <w:rsid w:val="007F7259"/>
    <w:rsid w:val="008009AB"/>
    <w:rsid w:val="00801E1F"/>
    <w:rsid w:val="008040A8"/>
    <w:rsid w:val="00825810"/>
    <w:rsid w:val="008279FA"/>
    <w:rsid w:val="00831F4C"/>
    <w:rsid w:val="008509C2"/>
    <w:rsid w:val="00850BE5"/>
    <w:rsid w:val="008626E7"/>
    <w:rsid w:val="008663DB"/>
    <w:rsid w:val="00870EE7"/>
    <w:rsid w:val="00875227"/>
    <w:rsid w:val="008863B9"/>
    <w:rsid w:val="008A45A6"/>
    <w:rsid w:val="008A75B1"/>
    <w:rsid w:val="008B5EFB"/>
    <w:rsid w:val="008C6650"/>
    <w:rsid w:val="008E2E6C"/>
    <w:rsid w:val="008E788F"/>
    <w:rsid w:val="008F414C"/>
    <w:rsid w:val="008F686C"/>
    <w:rsid w:val="009148DE"/>
    <w:rsid w:val="00922F16"/>
    <w:rsid w:val="00931622"/>
    <w:rsid w:val="00936A26"/>
    <w:rsid w:val="00941E30"/>
    <w:rsid w:val="00946B79"/>
    <w:rsid w:val="00956B69"/>
    <w:rsid w:val="00963C42"/>
    <w:rsid w:val="00971AC5"/>
    <w:rsid w:val="009777D9"/>
    <w:rsid w:val="00991B88"/>
    <w:rsid w:val="009A5753"/>
    <w:rsid w:val="009A579D"/>
    <w:rsid w:val="009B78C6"/>
    <w:rsid w:val="009D1011"/>
    <w:rsid w:val="009D1163"/>
    <w:rsid w:val="009D37C2"/>
    <w:rsid w:val="009E1BC1"/>
    <w:rsid w:val="009E3297"/>
    <w:rsid w:val="009E6BDF"/>
    <w:rsid w:val="009F001D"/>
    <w:rsid w:val="009F734F"/>
    <w:rsid w:val="00A17F60"/>
    <w:rsid w:val="00A246B6"/>
    <w:rsid w:val="00A34304"/>
    <w:rsid w:val="00A41A69"/>
    <w:rsid w:val="00A4216F"/>
    <w:rsid w:val="00A42A5E"/>
    <w:rsid w:val="00A47990"/>
    <w:rsid w:val="00A47E70"/>
    <w:rsid w:val="00A50CF0"/>
    <w:rsid w:val="00A51C08"/>
    <w:rsid w:val="00A57401"/>
    <w:rsid w:val="00A6014C"/>
    <w:rsid w:val="00A749E1"/>
    <w:rsid w:val="00A762CA"/>
    <w:rsid w:val="00A7671C"/>
    <w:rsid w:val="00A87EB1"/>
    <w:rsid w:val="00AA2CBC"/>
    <w:rsid w:val="00AB372B"/>
    <w:rsid w:val="00AB45F4"/>
    <w:rsid w:val="00AC5820"/>
    <w:rsid w:val="00AD183D"/>
    <w:rsid w:val="00AD1CD8"/>
    <w:rsid w:val="00AE7420"/>
    <w:rsid w:val="00B14C93"/>
    <w:rsid w:val="00B258BB"/>
    <w:rsid w:val="00B429D0"/>
    <w:rsid w:val="00B67B97"/>
    <w:rsid w:val="00B74076"/>
    <w:rsid w:val="00B968C8"/>
    <w:rsid w:val="00BA18D8"/>
    <w:rsid w:val="00BA3EC5"/>
    <w:rsid w:val="00BA51D9"/>
    <w:rsid w:val="00BB5DFC"/>
    <w:rsid w:val="00BC341C"/>
    <w:rsid w:val="00BD279D"/>
    <w:rsid w:val="00BD6BB8"/>
    <w:rsid w:val="00BE1686"/>
    <w:rsid w:val="00BF5C1C"/>
    <w:rsid w:val="00BF7514"/>
    <w:rsid w:val="00C020F1"/>
    <w:rsid w:val="00C06D7F"/>
    <w:rsid w:val="00C1177B"/>
    <w:rsid w:val="00C147AC"/>
    <w:rsid w:val="00C177E8"/>
    <w:rsid w:val="00C42719"/>
    <w:rsid w:val="00C43E32"/>
    <w:rsid w:val="00C46976"/>
    <w:rsid w:val="00C56057"/>
    <w:rsid w:val="00C66BA2"/>
    <w:rsid w:val="00C74979"/>
    <w:rsid w:val="00C77020"/>
    <w:rsid w:val="00C93F46"/>
    <w:rsid w:val="00C95985"/>
    <w:rsid w:val="00CA12EC"/>
    <w:rsid w:val="00CA1F8F"/>
    <w:rsid w:val="00CB7616"/>
    <w:rsid w:val="00CC46AF"/>
    <w:rsid w:val="00CC5026"/>
    <w:rsid w:val="00CC68D0"/>
    <w:rsid w:val="00CD23D6"/>
    <w:rsid w:val="00CD432C"/>
    <w:rsid w:val="00CD749E"/>
    <w:rsid w:val="00D03F9A"/>
    <w:rsid w:val="00D06D51"/>
    <w:rsid w:val="00D101E5"/>
    <w:rsid w:val="00D24991"/>
    <w:rsid w:val="00D4577F"/>
    <w:rsid w:val="00D50255"/>
    <w:rsid w:val="00D54B09"/>
    <w:rsid w:val="00D66520"/>
    <w:rsid w:val="00D67114"/>
    <w:rsid w:val="00D9403A"/>
    <w:rsid w:val="00DB7D79"/>
    <w:rsid w:val="00DE34CF"/>
    <w:rsid w:val="00DF31A4"/>
    <w:rsid w:val="00E07A86"/>
    <w:rsid w:val="00E12382"/>
    <w:rsid w:val="00E13F3D"/>
    <w:rsid w:val="00E14517"/>
    <w:rsid w:val="00E34898"/>
    <w:rsid w:val="00E3559B"/>
    <w:rsid w:val="00E92D26"/>
    <w:rsid w:val="00E95B79"/>
    <w:rsid w:val="00E964A1"/>
    <w:rsid w:val="00EA1D42"/>
    <w:rsid w:val="00EA37EF"/>
    <w:rsid w:val="00EB09B7"/>
    <w:rsid w:val="00EE44CA"/>
    <w:rsid w:val="00EE7D7C"/>
    <w:rsid w:val="00F02217"/>
    <w:rsid w:val="00F23704"/>
    <w:rsid w:val="00F25D98"/>
    <w:rsid w:val="00F300FB"/>
    <w:rsid w:val="00F3270B"/>
    <w:rsid w:val="00FA460E"/>
    <w:rsid w:val="00FA6BCC"/>
    <w:rsid w:val="00FA7EDF"/>
    <w:rsid w:val="00FB6386"/>
    <w:rsid w:val="00FC7839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uiPriority w:val="99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uiPriority w:val="99"/>
    <w:qFormat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0">
    <w:name w:val="B1 (文字)"/>
    <w:uiPriority w:val="99"/>
    <w:qFormat/>
    <w:locked/>
    <w:rsid w:val="000C5759"/>
    <w:rPr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03977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039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image" Target="media/image8.wmf"/><Relationship Id="rId39" Type="http://schemas.openxmlformats.org/officeDocument/2006/relationships/oleObject" Target="embeddings/oleObject11.bin"/><Relationship Id="rId21" Type="http://schemas.openxmlformats.org/officeDocument/2006/relationships/image" Target="media/image5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2.wmf"/><Relationship Id="rId55" Type="http://schemas.openxmlformats.org/officeDocument/2006/relationships/image" Target="media/image27.wmf"/><Relationship Id="rId63" Type="http://schemas.openxmlformats.org/officeDocument/2006/relationships/image" Target="media/image33.wmf"/><Relationship Id="rId68" Type="http://schemas.openxmlformats.org/officeDocument/2006/relationships/header" Target="header2.xml"/><Relationship Id="rId7" Type="http://schemas.openxmlformats.org/officeDocument/2006/relationships/settings" Target="settings.xml"/><Relationship Id="rId71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0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4.bin"/><Relationship Id="rId53" Type="http://schemas.openxmlformats.org/officeDocument/2006/relationships/image" Target="media/image25.wmf"/><Relationship Id="rId58" Type="http://schemas.openxmlformats.org/officeDocument/2006/relationships/oleObject" Target="embeddings/oleObject16.bin"/><Relationship Id="rId66" Type="http://schemas.openxmlformats.org/officeDocument/2006/relationships/image" Target="media/image36.wmf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21.wmf"/><Relationship Id="rId57" Type="http://schemas.openxmlformats.org/officeDocument/2006/relationships/image" Target="media/image29.wmf"/><Relationship Id="rId61" Type="http://schemas.openxmlformats.org/officeDocument/2006/relationships/image" Target="media/image31.wmf"/><Relationship Id="rId10" Type="http://schemas.openxmlformats.org/officeDocument/2006/relationships/endnotes" Target="endnotes.xml"/><Relationship Id="rId19" Type="http://schemas.openxmlformats.org/officeDocument/2006/relationships/image" Target="media/image4.wmf"/><Relationship Id="rId31" Type="http://schemas.openxmlformats.org/officeDocument/2006/relationships/oleObject" Target="embeddings/oleObject7.bin"/><Relationship Id="rId44" Type="http://schemas.openxmlformats.org/officeDocument/2006/relationships/image" Target="media/image18.wmf"/><Relationship Id="rId52" Type="http://schemas.openxmlformats.org/officeDocument/2006/relationships/image" Target="media/image24.wmf"/><Relationship Id="rId60" Type="http://schemas.openxmlformats.org/officeDocument/2006/relationships/oleObject" Target="embeddings/oleObject17.bin"/><Relationship Id="rId65" Type="http://schemas.openxmlformats.org/officeDocument/2006/relationships/image" Target="media/image35.w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4.bin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image" Target="media/image20.wmf"/><Relationship Id="rId56" Type="http://schemas.openxmlformats.org/officeDocument/2006/relationships/image" Target="media/image28.wmf"/><Relationship Id="rId64" Type="http://schemas.openxmlformats.org/officeDocument/2006/relationships/image" Target="media/image34.wmf"/><Relationship Id="rId69" Type="http://schemas.openxmlformats.org/officeDocument/2006/relationships/header" Target="header3.xml"/><Relationship Id="rId8" Type="http://schemas.openxmlformats.org/officeDocument/2006/relationships/webSettings" Target="webSettings.xml"/><Relationship Id="rId51" Type="http://schemas.openxmlformats.org/officeDocument/2006/relationships/image" Target="media/image23.wmf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8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image" Target="media/image30.wmf"/><Relationship Id="rId67" Type="http://schemas.openxmlformats.org/officeDocument/2006/relationships/header" Target="header1.xml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2.bin"/><Relationship Id="rId54" Type="http://schemas.openxmlformats.org/officeDocument/2006/relationships/image" Target="media/image26.wmf"/><Relationship Id="rId62" Type="http://schemas.openxmlformats.org/officeDocument/2006/relationships/image" Target="media/image32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99AC0-F590-44FF-9B3D-334593CF12E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B3B81A4-74AE-4C4F-A9A3-E5BE3CE0E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D2401-2CD4-4E09-B928-2580325225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2019-08-16T23:54:00Z</dcterms:created>
  <dcterms:modified xsi:type="dcterms:W3CDTF">2019-08-16T23:54:00Z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